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rFonts w:ascii="Arimo" w:hAnsi="Arimo" w:eastAsia="Arimo" w:cs="Arimo"/>
          <w:b/>
          <w:bCs/>
          <w:sz w:val="24"/>
          <w:szCs w:val="24"/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31615" cy="399510"/>
                <wp:effectExtent l="0" t="0" r="0" b="0"/>
                <wp:wrapSquare wrapText="bothSides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769798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0" flipH="0" flipV="0">
                          <a:off x="0" y="0"/>
                          <a:ext cx="1531614" cy="399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048;o:allowoverlap:true;o:allowincell:true;mso-position-horizontal-relative:text;margin-left:0.00pt;mso-position-horizontal:absolute;mso-position-vertical-relative:text;margin-top:0.00pt;mso-position-vertical:absolute;width:120.60pt;height:31.46pt;mso-wrap-distance-left:9.07pt;mso-wrap-distance-top:0.00pt;mso-wrap-distance-right:9.07pt;mso-wrap-distance-bottom:0.00pt;rotation:0;" stroked="false">
                <v:path textboxrect="0,0,0,0"/>
                <w10:wrap type="square"/>
                <v:imagedata r:id="rId8" o:title=""/>
              </v:shape>
            </w:pict>
          </mc:Fallback>
        </mc:AlternateContent>
      </w:r>
      <w:r/>
    </w:p>
    <w:p>
      <w:pPr>
        <w:ind w:left="0" w:right="0" w:firstLine="0"/>
        <w:rPr>
          <w:rFonts w:ascii="Tinos" w:hAnsi="Tinos" w:cs="Tinos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Cs w:val="24"/>
        </w:rPr>
      </w:r>
      <w:r>
        <w:rPr>
          <w:rFonts w:ascii="Tinos" w:hAnsi="Tinos" w:cs="Tinos"/>
          <w:szCs w:val="24"/>
        </w:rPr>
      </w:r>
    </w:p>
    <w:p>
      <w:pPr>
        <w:jc w:val="center"/>
        <w:spacing w:after="180"/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b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</w:r>
    </w:p>
    <w:p>
      <w:pPr>
        <w:jc w:val="center"/>
        <w:spacing w:after="180"/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ПСБ рассказал о роли банковского сопровождения в развитии арктического флота на форуме «Арктика – Регионы»</w:t>
      </w:r>
      <w:r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4"/>
          <w:szCs w:val="24"/>
          <w:highlight w:val="none"/>
        </w:rPr>
      </w:r>
    </w:p>
    <w:p>
      <w:pPr>
        <w:spacing w:after="180"/>
        <w:rPr>
          <w:rFonts w:ascii="Tinos" w:hAnsi="Tinos" w:cs="Tinos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4"/>
          <w:szCs w:val="24"/>
        </w:rPr>
        <w:t xml:space="preserve">Управляющий Санкт-Петербургским филиалом ПСБ Андрей Макаров принял участие в стратегической сессии «Строительство арктического фло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та и морской техники для Арктики» в рамках форума «Арктика – Регионы». Он рассказал о том, как финансовые инструменты помогают обеспечивать устойчивость долгосрочных судостроительных проектов — от закупки оборудования до ввода готовых судов в эксплуатацию.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spacing w:after="180"/>
        <w:rPr>
          <w:rFonts w:ascii="Tinos" w:hAnsi="Tinos" w:cs="Tinos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4"/>
          <w:szCs w:val="24"/>
        </w:rPr>
        <w:t xml:space="preserve">Развитие арктического флота является одним из ключевых услов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ий освоения северных территорий. Современные ледоколы, грузовые, буксирные и вспомогательные суда обеспечивают работу Северного морского пути, стабильность северного завоза, деятельность портов и реализацию крупных промышленных проектов в Арктической зоне.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spacing w:after="180"/>
        <w:rPr>
          <w:rFonts w:ascii="Tinos" w:hAnsi="Tinos" w:cs="Tinos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4"/>
          <w:szCs w:val="24"/>
        </w:rPr>
        <w:t xml:space="preserve">Как отметил Андрей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 Макаров, специфика арктического судостроения заключается в длительном производственном цикле, поэтому задача банка — сформировать устойчивый финансовый контур вокруг всего проекта.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spacing w:after="180"/>
        <w:rPr>
          <w:rFonts w:ascii="Tinos" w:hAnsi="Tinos" w:cs="Tinos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4"/>
          <w:szCs w:val="24"/>
        </w:rPr>
        <w:t xml:space="preserve">«В крупных судостроительных проектах важно учитывать всю производственную цепочку: график строительства, состав кооперации, сроки поставки оборудования и выполнения обязательств перед заказчиком. Финансовый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 партнер должен понимать экономику проекта и работать в единой логике с производственным процессом. Такой подход позволяет поддерживать непрерывность строительства сложной морской техники», — отметил Андрей Макаров.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spacing w:after="180"/>
        <w:rPr>
          <w:rFonts w:ascii="Tinos" w:hAnsi="Tinos" w:cs="Tinos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4"/>
          <w:szCs w:val="24"/>
        </w:rPr>
        <w:t xml:space="preserve">При этом, как подчеркнули в ПСБ, каждый проект в сфере арктического флота требует индивидуального подхода. Финансовая модель строительства ледокола, сухогруза, буксира или другого типа морской техники зависит от особенностей заказчика, сроков реализации, и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сточников финансирования и распределения рисков.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Arimo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PSB Lavr"/>
        <a:cs typeface="PSB Lavr"/>
      </a:majorFont>
      <a:minorFont>
        <a:latin typeface="PSB Lavr"/>
        <a:ea typeface="PSB Lavr"/>
        <a:cs typeface="PSB Lavr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modified xsi:type="dcterms:W3CDTF">2026-08-14T11:07:01Z</dcterms:modified>
</cp:coreProperties>
</file>